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AA" w:rsidRDefault="00E242AA" w:rsidP="00E242A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Заключение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 результатам внешней  проверки годового отчета об исполнении бюджета за 2019 год муниципального образования «поселок Хомутовка»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 п. Хомутовка                                                                              24 марта 2020 года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 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Всоответствиисост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. 264.4 Бюджетного кодекса Российской Федерации,  в период с 23 по 24 марта 2020 года проведена внешняя проверка годового отчёта об исполнении бюджета за 2019 год муниципального образования «поселок Хомутовка»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области.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Целью проведенного экспертно-аналитического мероприятия являлась проверка достоверности представленного отчёта, как носителя полной информации о финансовой деятельности главного распорядителя бюджетных средств.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Проверкой установлено: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Отчёт представлен в соответствии с требованиями статьи 264.1 Бюджетного кодекса Российской Федерации  в полном объёме.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Доходы муниципального образования «поселок Хомутовка» в 2019 году составили 18036,304 тыс. рублей  (утверждено - 17631,807 тыс. руб.). Исполнение - 102,3 %.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Фактически  поступило  налоговых и неналоговых  доходов - 9616,399 тыс. рублей (53,32 % общей суммы доходов), в том числе: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налоги на прибыль - 4374,582 тыс. рублей (24,26 %);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налоги на совокупный доход - 1421,034 тыс. рублей (7,88 %);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налоги на имущество - 2509,369 тыс. рублей (13,91 %);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акцизы - 658,475 тыс. рублей (3,65 %);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доходы от использования имущества, находящегося в муниципальной собственности - 579,429 тыс. рублей (3,21 %);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доходы от продажи материальных и нематериальных активов - 47,365 тыс. рублей (0,26 %);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компенсация затрат - 0,340 тыс. руб. (0,002 %);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 - штрафы, санкции - 25,804  тыс. рублей (0,15 %).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242AA" w:rsidRDefault="00E242AA" w:rsidP="00E242AA">
      <w:pPr>
        <w:pStyle w:val="100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 долю безвозмездных поступлений в 2019 году приходилось 8419,905 тыс. рублей (46,68 % общей суммы доходов), в том числе:</w:t>
      </w:r>
    </w:p>
    <w:p w:rsidR="00E242AA" w:rsidRDefault="00E242AA" w:rsidP="00E242AA">
      <w:pPr>
        <w:pStyle w:val="100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    дотации составили - 1735,315 тыс. рублей (9,62 %);</w:t>
      </w:r>
    </w:p>
    <w:p w:rsidR="00E242AA" w:rsidRDefault="00E242AA" w:rsidP="00E242AA">
      <w:pPr>
        <w:pStyle w:val="100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       субсидии - 6664,590 тыс. рублей (36,95 %);</w:t>
      </w:r>
    </w:p>
    <w:p w:rsidR="00E242AA" w:rsidRDefault="00E242AA" w:rsidP="00E242AA">
      <w:pPr>
        <w:pStyle w:val="100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       прочие безвозмездные поступления - 20,000 (0,11 %).</w:t>
      </w:r>
    </w:p>
    <w:p w:rsidR="00E242AA" w:rsidRDefault="00E242AA" w:rsidP="00E242AA">
      <w:pPr>
        <w:pStyle w:val="100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 </w:t>
      </w:r>
    </w:p>
    <w:p w:rsidR="00E242AA" w:rsidRDefault="00E242AA" w:rsidP="00E242AA">
      <w:pPr>
        <w:pStyle w:val="100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242AA" w:rsidRDefault="00E242AA" w:rsidP="00E242AA">
      <w:pPr>
        <w:pStyle w:val="100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Доля помощи областного бюджета в собственных доходах муниципального образования, составила: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(8419,905 тыс. рублей (безвозмездные поступления) - 0,00 тыс. рублей (субвенции)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 :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18036,304 тыс. рублей ((доходы (18036,304 тыс. рублей) -  субвенции (0,00 тыс. рублей))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  100  = 46,7 %.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Кассовое исполнение расходов бюджета - 16769,594 тыс. рублей  (предельные бюджетные ассигнования - 17407,440 тыс. рублей (96,34 %).</w:t>
      </w:r>
      <w:proofErr w:type="gramEnd"/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Неисполненные бюджетные назначения составили 637,845 тыс. рублей, из них:   по разделу «Общегосударственные вопросы» - 46,089 тыс. рублей;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 по разделу «Правоохранительная деятельность» - 0,026 тыс. рублей;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 разделу «Национальная экономика» - 518,392 тыс. рублей;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 разделу «Жилищно-коммунальное хозяйство» - 73,273 тыс. рублей;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 разделу «Социальная политика» - 0,065 тыс. рублей.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Расходы на оплату труда с начислениями - 5014,990 тыс. рублей (29,9 % от суммы расходов бюджета).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В      соответствии    с     постановлением    Администрации    Курской   области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№ 970-па от 04.12.2018 г. «Об утверждении на 2019 год нормативов формирования расходов на содержание органов местного самоуправления муниципальных образований Курской области» (в ред. постановления Администрации Курской области от 08.11.2019 г. № 1081-па) на содержание органов местного самоуправления муниципального образования  «поселок Хомутовка» в 2019 году установлены расходы в сумме   3275,2 тыс. рублей.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 представленному годовому отчету об исполнении бюджета за 2019 год фактические кассовые расходы по содержанию органов местного самоуправления составили: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961,834 тыс. рублей (оплата труда с начислениями Главы поселка Хомутовка  (код расходов 0102)) + 2313,365 тыс. рублей (Аппарат Администрации поселка Хомутовка  (код расходов 0104)  = 3275,2 тыс. рублей.    </w:t>
      </w:r>
      <w:proofErr w:type="gramEnd"/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 Норматив расходов на содержание органов местного самоуправления не превышен.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Профицит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бюджета муниципального образования «поселок Хомутовка»  составил 1266,710 тыс.  рублей.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Данные баланса по разделу I «Нефинансовые активы» на начало 2019 года</w:t>
      </w:r>
      <w:r>
        <w:rPr>
          <w:rFonts w:ascii="PT-Astra-Sans-Regular" w:hAnsi="PT-Astra-Sans-Regular"/>
          <w:color w:val="252525"/>
          <w:sz w:val="16"/>
          <w:szCs w:val="16"/>
        </w:rPr>
        <w:t> - 122171,005 тыс. рублей (в том числе  «Основные средства - 131,227 тыс. рублей»,  «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Непроизведенные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активы» - 98567,220 тыс. рублей,  «Вложения в нефинансовые активы» - 551,746 тыс. рублей», «Нефинансовые активы имущества казны» - 22920,812 тыс. рублей).</w:t>
      </w:r>
      <w:proofErr w:type="gramEnd"/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На конец года по разделу «Нефинансовые активы»</w:t>
      </w:r>
      <w:r>
        <w:rPr>
          <w:rFonts w:ascii="PT-Astra-Sans-Regular" w:hAnsi="PT-Astra-Sans-Regular"/>
          <w:color w:val="252525"/>
          <w:sz w:val="16"/>
          <w:szCs w:val="16"/>
        </w:rPr>
        <w:t> данные по балансу – 142241,526 тыс. рублей (в том числе «Основные средства» - 81,190 тыс. рублей, «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Непроизведенные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активы» - 98567,220 тыс. рублей,  «Нефинансовые активы имущества казны» - 43593,116 тыс. рублей).</w:t>
      </w:r>
      <w:proofErr w:type="gramEnd"/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Данные баланса по разделу II «Финансовые активы» на начало 2019 года</w:t>
      </w:r>
      <w:r>
        <w:rPr>
          <w:rFonts w:ascii="PT-Astra-Sans-Regular" w:hAnsi="PT-Astra-Sans-Regular"/>
          <w:color w:val="252525"/>
          <w:sz w:val="16"/>
          <w:szCs w:val="16"/>
        </w:rPr>
        <w:t> -13878,690 тыс. рублей (в том числе «Средства на счетах бюджета в органе Федерального казначейства» - 2082,726 тыс. рублей, «Дебиторская задолженность по доходам» - 11795,964 тыс. рублей).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lastRenderedPageBreak/>
        <w:t xml:space="preserve">Данные баланса по разделу II «Финансовые активы» </w:t>
      </w: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на</w:t>
      </w:r>
      <w:r>
        <w:rPr>
          <w:rFonts w:ascii="PT-Astra-Sans-Regular" w:hAnsi="PT-Astra-Sans-Regular"/>
          <w:color w:val="252525"/>
          <w:sz w:val="16"/>
          <w:szCs w:val="16"/>
        </w:rPr>
        <w:t>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конец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2019 года</w:t>
      </w:r>
      <w:r>
        <w:rPr>
          <w:rFonts w:ascii="PT-Astra-Sans-Regular" w:hAnsi="PT-Astra-Sans-Regular"/>
          <w:color w:val="252525"/>
          <w:sz w:val="16"/>
          <w:szCs w:val="16"/>
        </w:rPr>
        <w:t> – 19232,853 тыс. рублей (в том числе «Средства на счетах бюджета в органе Федерального казначейства» - 3349,435 тыс. рублей, «Дебиторская задолженность по доходам» - 15883,418 тыс. рублей).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Данные баланса по разделу III «Обязательства»</w:t>
      </w:r>
      <w:r>
        <w:rPr>
          <w:rFonts w:ascii="PT-Astra-Sans-Regular" w:hAnsi="PT-Astra-Sans-Regular"/>
          <w:color w:val="252525"/>
          <w:sz w:val="16"/>
          <w:szCs w:val="16"/>
        </w:rPr>
        <w:t>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на начало 2019 года</w:t>
      </w:r>
      <w:r>
        <w:rPr>
          <w:rFonts w:ascii="PT-Astra-Sans-Regular" w:hAnsi="PT-Astra-Sans-Regular"/>
          <w:color w:val="252525"/>
          <w:sz w:val="16"/>
          <w:szCs w:val="16"/>
        </w:rPr>
        <w:t> – 11132,799 тыс. рублей (в том числе «Кредиторская задолженность» - 897,765 тыс. рублей, «Доходы будущих периодов» - 10235,034 тыс. рублей).</w:t>
      </w:r>
      <w:proofErr w:type="gramEnd"/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Данные баланса по разделу III «Обязательства»</w:t>
      </w:r>
      <w:r>
        <w:rPr>
          <w:rFonts w:ascii="PT-Astra-Sans-Regular" w:hAnsi="PT-Astra-Sans-Regular"/>
          <w:color w:val="252525"/>
          <w:sz w:val="16"/>
          <w:szCs w:val="16"/>
        </w:rPr>
        <w:t>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на конец 2019 года</w:t>
      </w:r>
      <w:r>
        <w:rPr>
          <w:rFonts w:ascii="PT-Astra-Sans-Regular" w:hAnsi="PT-Astra-Sans-Regular"/>
          <w:color w:val="252525"/>
          <w:sz w:val="16"/>
          <w:szCs w:val="16"/>
        </w:rPr>
        <w:t> – 15545,653  тыс. рублей (в том числе «Кредиторская задолженность» - 921,803 тыс. рублей, «Доходы будущих периодов» - 14623,850 тыс. рублей)</w:t>
      </w:r>
      <w:proofErr w:type="gramEnd"/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Данные баланса по разделу IV «Финансовый результат» »</w:t>
      </w:r>
      <w:r>
        <w:rPr>
          <w:rFonts w:ascii="PT-Astra-Sans-Regular" w:hAnsi="PT-Astra-Sans-Regular"/>
          <w:color w:val="252525"/>
          <w:sz w:val="16"/>
          <w:szCs w:val="16"/>
        </w:rPr>
        <w:t>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на начало 2019 года </w:t>
      </w:r>
      <w:r>
        <w:rPr>
          <w:rFonts w:ascii="PT-Astra-Sans-Regular" w:hAnsi="PT-Astra-Sans-Regular"/>
          <w:color w:val="252525"/>
          <w:sz w:val="16"/>
          <w:szCs w:val="16"/>
        </w:rPr>
        <w:t>- 124916,896 тыс. рублей.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Данные баланса по разделу IV «Финансовый результат» »</w:t>
      </w:r>
      <w:r>
        <w:rPr>
          <w:rFonts w:ascii="PT-Astra-Sans-Regular" w:hAnsi="PT-Astra-Sans-Regular"/>
          <w:color w:val="252525"/>
          <w:sz w:val="16"/>
          <w:szCs w:val="16"/>
        </w:rPr>
        <w:t> </w:t>
      </w: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на конец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2019 года </w:t>
      </w:r>
      <w:r>
        <w:rPr>
          <w:rFonts w:ascii="PT-Astra-Sans-Regular" w:hAnsi="PT-Astra-Sans-Regular"/>
          <w:color w:val="252525"/>
          <w:sz w:val="16"/>
          <w:szCs w:val="16"/>
        </w:rPr>
        <w:t>- 145928,726 тыс. рублей.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                                           Выводы: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Пакет документов соответствует требованиям статьи 264.1 Бюджетного кодекса Российской Федерации.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Доходы муниципального образования  в 2019 году составили 18036,304 тыс. рублей.  Исполнение - 102,3 %. 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 Фактическое поступление налоговых и неналоговых доходов - 9616,399 тыс. рублей (53,3 % общей суммы доходов).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 Кассовое исполнение расходов бюджета - 16769,594 тыс. рублей. Неисполненные назначения, предусмотренные ассигнованиями - 637,845 тыс. рублей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5. Доля помощи областного бюджета (без учёта субвенций) в собственных доходах муниципального образования - 46,7 %.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6. Доля  оплаты  труда с начислениями в расходах бюджета - 29,9 %.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    7. 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Утверждённый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      постановлением    Администрации     Курской    области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 04.12.2018 г. № 970-па норматив расходов на содержание органов местного самоуправления  не превышен.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8. По итогам исполнения бюджета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профицит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составил  1266,710 тыс. рублей.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Председатель  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 Контрольно-ревизионной комиссии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                                Т.А. Михнова   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242AA" w:rsidRDefault="00E242AA" w:rsidP="00E242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25223" w:rsidRPr="00E242AA" w:rsidRDefault="00A25223" w:rsidP="00E242AA"/>
    <w:sectPr w:rsidR="00A25223" w:rsidRPr="00E242AA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498E"/>
    <w:multiLevelType w:val="multilevel"/>
    <w:tmpl w:val="1FA6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E21A9"/>
    <w:multiLevelType w:val="multilevel"/>
    <w:tmpl w:val="FACC3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7138E"/>
    <w:multiLevelType w:val="multilevel"/>
    <w:tmpl w:val="A7481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1D36EF"/>
    <w:multiLevelType w:val="multilevel"/>
    <w:tmpl w:val="352E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C66262"/>
    <w:multiLevelType w:val="multilevel"/>
    <w:tmpl w:val="0858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216CAE"/>
    <w:multiLevelType w:val="multilevel"/>
    <w:tmpl w:val="EF3C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F36410"/>
    <w:multiLevelType w:val="multilevel"/>
    <w:tmpl w:val="04603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7140CC"/>
    <w:multiLevelType w:val="multilevel"/>
    <w:tmpl w:val="1ED6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7E734D"/>
    <w:multiLevelType w:val="multilevel"/>
    <w:tmpl w:val="21345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3D0A63"/>
    <w:multiLevelType w:val="multilevel"/>
    <w:tmpl w:val="6DFA7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33F3"/>
    <w:rsid w:val="0010057E"/>
    <w:rsid w:val="00102E46"/>
    <w:rsid w:val="0015599F"/>
    <w:rsid w:val="00171632"/>
    <w:rsid w:val="001A7298"/>
    <w:rsid w:val="001E46E8"/>
    <w:rsid w:val="002169A8"/>
    <w:rsid w:val="00225BA1"/>
    <w:rsid w:val="00226D57"/>
    <w:rsid w:val="0023443F"/>
    <w:rsid w:val="00237C6C"/>
    <w:rsid w:val="00242084"/>
    <w:rsid w:val="0025231E"/>
    <w:rsid w:val="00287BA3"/>
    <w:rsid w:val="002C46B3"/>
    <w:rsid w:val="002C5D25"/>
    <w:rsid w:val="002D288D"/>
    <w:rsid w:val="002E3D0B"/>
    <w:rsid w:val="002F48BB"/>
    <w:rsid w:val="00383B33"/>
    <w:rsid w:val="00391238"/>
    <w:rsid w:val="003F0644"/>
    <w:rsid w:val="004058A2"/>
    <w:rsid w:val="0042308B"/>
    <w:rsid w:val="00432AF2"/>
    <w:rsid w:val="004448E9"/>
    <w:rsid w:val="00456675"/>
    <w:rsid w:val="00470E13"/>
    <w:rsid w:val="00472C7F"/>
    <w:rsid w:val="004B3264"/>
    <w:rsid w:val="004D329E"/>
    <w:rsid w:val="004D3975"/>
    <w:rsid w:val="004D7836"/>
    <w:rsid w:val="004E7ED2"/>
    <w:rsid w:val="00517996"/>
    <w:rsid w:val="00542028"/>
    <w:rsid w:val="0057299C"/>
    <w:rsid w:val="00587AEC"/>
    <w:rsid w:val="00591D3D"/>
    <w:rsid w:val="00595CCC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A2283"/>
    <w:rsid w:val="006B5A7E"/>
    <w:rsid w:val="006C5540"/>
    <w:rsid w:val="006E6F48"/>
    <w:rsid w:val="007351C0"/>
    <w:rsid w:val="00762BA4"/>
    <w:rsid w:val="007D074A"/>
    <w:rsid w:val="007E5915"/>
    <w:rsid w:val="007F69A9"/>
    <w:rsid w:val="0080550B"/>
    <w:rsid w:val="008305A7"/>
    <w:rsid w:val="0083258A"/>
    <w:rsid w:val="00853574"/>
    <w:rsid w:val="0087742C"/>
    <w:rsid w:val="008A0EFA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42E83"/>
    <w:rsid w:val="00A447C4"/>
    <w:rsid w:val="00A52915"/>
    <w:rsid w:val="00A614DB"/>
    <w:rsid w:val="00A83456"/>
    <w:rsid w:val="00A9697D"/>
    <w:rsid w:val="00AB768A"/>
    <w:rsid w:val="00B16788"/>
    <w:rsid w:val="00B53DF6"/>
    <w:rsid w:val="00B80655"/>
    <w:rsid w:val="00B82FFF"/>
    <w:rsid w:val="00B94E79"/>
    <w:rsid w:val="00BB61B0"/>
    <w:rsid w:val="00BE2D76"/>
    <w:rsid w:val="00BF6692"/>
    <w:rsid w:val="00C05059"/>
    <w:rsid w:val="00C23726"/>
    <w:rsid w:val="00C24DF4"/>
    <w:rsid w:val="00C25889"/>
    <w:rsid w:val="00C311B6"/>
    <w:rsid w:val="00C612EA"/>
    <w:rsid w:val="00C74EDD"/>
    <w:rsid w:val="00CD437A"/>
    <w:rsid w:val="00CD7AB4"/>
    <w:rsid w:val="00CE1EB7"/>
    <w:rsid w:val="00CF27EE"/>
    <w:rsid w:val="00D13636"/>
    <w:rsid w:val="00D17427"/>
    <w:rsid w:val="00D216BE"/>
    <w:rsid w:val="00D30861"/>
    <w:rsid w:val="00D672F4"/>
    <w:rsid w:val="00D7497B"/>
    <w:rsid w:val="00D83864"/>
    <w:rsid w:val="00D846DA"/>
    <w:rsid w:val="00D92402"/>
    <w:rsid w:val="00DA2B34"/>
    <w:rsid w:val="00DD3DBB"/>
    <w:rsid w:val="00DD5F36"/>
    <w:rsid w:val="00E00902"/>
    <w:rsid w:val="00E242AA"/>
    <w:rsid w:val="00E378FD"/>
    <w:rsid w:val="00E46BFB"/>
    <w:rsid w:val="00E74D0B"/>
    <w:rsid w:val="00E770BB"/>
    <w:rsid w:val="00E91288"/>
    <w:rsid w:val="00E94608"/>
    <w:rsid w:val="00EA154A"/>
    <w:rsid w:val="00EC3628"/>
    <w:rsid w:val="00EF4182"/>
    <w:rsid w:val="00F008CC"/>
    <w:rsid w:val="00F0718D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3</Pages>
  <Words>1012</Words>
  <Characters>5774</Characters>
  <Application>Microsoft Office Word</Application>
  <DocSecurity>0</DocSecurity>
  <Lines>48</Lines>
  <Paragraphs>13</Paragraphs>
  <ScaleCrop>false</ScaleCrop>
  <Company/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144</cp:revision>
  <dcterms:created xsi:type="dcterms:W3CDTF">2023-07-06T19:53:00Z</dcterms:created>
  <dcterms:modified xsi:type="dcterms:W3CDTF">2023-07-28T06:09:00Z</dcterms:modified>
</cp:coreProperties>
</file>