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исполнилось </w:t>
            </w:r>
            <w:r w:rsidRPr="0012059F">
              <w:rPr>
                <w:rFonts w:ascii="Times New Roman" w:hAnsi="Times New Roman"/>
                <w:sz w:val="28"/>
                <w:szCs w:val="28"/>
              </w:rPr>
              <w:lastRenderedPageBreak/>
              <w:t>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дочери служащего (работника) уже </w:t>
            </w:r>
            <w:r w:rsidRPr="0012059F">
              <w:rPr>
                <w:rFonts w:ascii="Times New Roman" w:hAnsi="Times New Roman"/>
                <w:sz w:val="28"/>
                <w:szCs w:val="28"/>
              </w:rPr>
              <w:lastRenderedPageBreak/>
              <w:t>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 xml:space="preserve">на стороне покупателя выступает </w:t>
      </w:r>
      <w:r w:rsidRPr="0012059F">
        <w:rPr>
          <w:rFonts w:ascii="Times New Roman" w:hAnsi="Times New Roman"/>
          <w:sz w:val="28"/>
          <w:szCs w:val="28"/>
        </w:rPr>
        <w:lastRenderedPageBreak/>
        <w:t>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w:t>
      </w:r>
      <w:r w:rsidRPr="0012059F">
        <w:rPr>
          <w:rFonts w:ascii="Times New Roman" w:hAnsi="Times New Roman"/>
          <w:sz w:val="28"/>
          <w:szCs w:val="28"/>
        </w:rPr>
        <w:lastRenderedPageBreak/>
        <w:t xml:space="preserve">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lastRenderedPageBreak/>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lastRenderedPageBreak/>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xml:space="preserve">) и собственником которых является служащий (работник), его супруга (супруг) или </w:t>
      </w:r>
      <w:r w:rsidR="00941C66" w:rsidRPr="0012059F">
        <w:rPr>
          <w:rFonts w:ascii="Times New Roman" w:hAnsi="Times New Roman"/>
          <w:sz w:val="28"/>
          <w:szCs w:val="28"/>
        </w:rPr>
        <w:lastRenderedPageBreak/>
        <w:t>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w:t>
      </w:r>
      <w:r w:rsidRPr="0012059F">
        <w:rPr>
          <w:rFonts w:ascii="Times New Roman" w:hAnsi="Times New Roman"/>
          <w:sz w:val="28"/>
          <w:szCs w:val="28"/>
        </w:rPr>
        <w:lastRenderedPageBreak/>
        <w:t>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12059F">
        <w:rPr>
          <w:rFonts w:ascii="Times New Roman" w:hAnsi="Times New Roman"/>
          <w:sz w:val="28"/>
          <w:szCs w:val="28"/>
        </w:rPr>
        <w:lastRenderedPageBreak/>
        <w:t>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4D1" w:rsidRDefault="00EA44D1" w:rsidP="00204BB5">
      <w:r>
        <w:separator/>
      </w:r>
    </w:p>
  </w:endnote>
  <w:endnote w:type="continuationSeparator" w:id="1">
    <w:p w:rsidR="00EA44D1" w:rsidRDefault="00EA44D1"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4D1" w:rsidRDefault="00EA44D1" w:rsidP="00204BB5">
      <w:r>
        <w:separator/>
      </w:r>
    </w:p>
  </w:footnote>
  <w:footnote w:type="continuationSeparator" w:id="1">
    <w:p w:rsidR="00EA44D1" w:rsidRDefault="00EA44D1"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846D91">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E3389">
      <w:rPr>
        <w:rFonts w:ascii="Times New Roman" w:hAnsi="Times New Roman"/>
        <w:noProof/>
        <w:sz w:val="28"/>
        <w:szCs w:val="28"/>
      </w:rPr>
      <w:t>2</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3389"/>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D91"/>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5"/>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23C"/>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4D1"/>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23154</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154829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cp:lastModifiedBy>
  <cp:revision>2</cp:revision>
  <cp:lastPrinted>2021-10-25T14:57:00Z</cp:lastPrinted>
  <dcterms:created xsi:type="dcterms:W3CDTF">2022-01-19T09:08:00Z</dcterms:created>
  <dcterms:modified xsi:type="dcterms:W3CDTF">2022-01-19T09:08:00Z</dcterms:modified>
</cp:coreProperties>
</file>